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6775E">
      <w:pPr>
        <w:spacing w:line="560" w:lineRule="exact"/>
        <w:jc w:val="left"/>
        <w:rPr>
          <w:rFonts w:hint="eastAsia" w:ascii="黑体" w:hAnsi="黑体" w:eastAsia="黑体" w:cs="黑体"/>
          <w:w w:val="86"/>
          <w:sz w:val="32"/>
          <w:szCs w:val="32"/>
        </w:rPr>
      </w:pPr>
      <w:bookmarkStart w:id="0" w:name="_GoBack"/>
      <w:r>
        <w:rPr>
          <w:rFonts w:hint="eastAsia" w:ascii="黑体" w:hAnsi="黑体" w:eastAsia="黑体" w:cs="黑体"/>
          <w:w w:val="86"/>
          <w:sz w:val="32"/>
          <w:szCs w:val="32"/>
        </w:rPr>
        <w:t>附件1：</w:t>
      </w:r>
    </w:p>
    <w:bookmarkEnd w:id="0"/>
    <w:p w14:paraId="254FAE80">
      <w:pPr>
        <w:keepNext w:val="0"/>
        <w:keepLines w:val="0"/>
        <w:pageBreakBefore w:val="0"/>
        <w:widowControl w:val="0"/>
        <w:kinsoku/>
        <w:wordWrap/>
        <w:overflowPunct/>
        <w:topLinePunct w:val="0"/>
        <w:autoSpaceDE/>
        <w:autoSpaceDN/>
        <w:bidi w:val="0"/>
        <w:adjustRightInd/>
        <w:snapToGrid/>
        <w:spacing w:before="313" w:beforeLines="100" w:after="313" w:afterLines="100" w:line="600" w:lineRule="exact"/>
        <w:jc w:val="center"/>
        <w:textAlignment w:val="auto"/>
        <w:rPr>
          <w:rFonts w:hint="eastAsia" w:ascii="仿宋_GB2312" w:hAnsi="仿宋_GB2312" w:eastAsia="仿宋_GB2312" w:cs="仿宋_GB2312"/>
          <w:b/>
          <w:bCs/>
          <w:w w:val="86"/>
          <w:sz w:val="40"/>
          <w:szCs w:val="40"/>
        </w:rPr>
      </w:pPr>
      <w:r>
        <w:rPr>
          <w:rFonts w:hint="eastAsia" w:ascii="仿宋_GB2312" w:hAnsi="仿宋_GB2312" w:eastAsia="仿宋_GB2312" w:cs="仿宋_GB2312"/>
          <w:b/>
          <w:bCs/>
          <w:w w:val="86"/>
          <w:sz w:val="40"/>
          <w:szCs w:val="40"/>
        </w:rPr>
        <w:t>机关党委党支部书记抓基层党建工作测评表（     年度）</w:t>
      </w:r>
    </w:p>
    <w:tbl>
      <w:tblPr>
        <w:tblStyle w:val="5"/>
        <w:tblW w:w="10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6822"/>
        <w:gridCol w:w="765"/>
        <w:gridCol w:w="765"/>
        <w:gridCol w:w="765"/>
        <w:gridCol w:w="765"/>
      </w:tblGrid>
      <w:tr w14:paraId="4741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549" w:type="dxa"/>
            <w:vMerge w:val="restart"/>
            <w:noWrap w:val="0"/>
            <w:vAlign w:val="center"/>
          </w:tcPr>
          <w:p w14:paraId="454B5EC7">
            <w:pPr>
              <w:spacing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序号</w:t>
            </w:r>
          </w:p>
        </w:tc>
        <w:tc>
          <w:tcPr>
            <w:tcW w:w="6822" w:type="dxa"/>
            <w:vMerge w:val="restart"/>
            <w:noWrap w:val="0"/>
            <w:vAlign w:val="center"/>
          </w:tcPr>
          <w:p w14:paraId="568CE1E3">
            <w:pPr>
              <w:spacing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测评内容</w:t>
            </w:r>
          </w:p>
        </w:tc>
        <w:tc>
          <w:tcPr>
            <w:tcW w:w="3060" w:type="dxa"/>
            <w:gridSpan w:val="4"/>
            <w:noWrap w:val="0"/>
            <w:vAlign w:val="top"/>
          </w:tcPr>
          <w:p w14:paraId="26CD4BE9">
            <w:pPr>
              <w:spacing w:line="560" w:lineRule="exact"/>
              <w:jc w:val="center"/>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评分</w:t>
            </w:r>
            <w:r>
              <w:rPr>
                <w:rFonts w:hint="eastAsia" w:ascii="仿宋_GB2312" w:hAnsi="仿宋_GB2312" w:eastAsia="仿宋_GB2312" w:cs="仿宋_GB2312"/>
                <w:b/>
                <w:bCs/>
                <w:szCs w:val="22"/>
              </w:rPr>
              <w:t>（请选择一栏打“√”）</w:t>
            </w:r>
          </w:p>
        </w:tc>
      </w:tr>
      <w:tr w14:paraId="7EF7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49" w:type="dxa"/>
            <w:vMerge w:val="continue"/>
            <w:noWrap w:val="0"/>
            <w:vAlign w:val="top"/>
          </w:tcPr>
          <w:p w14:paraId="3AD81576">
            <w:pPr>
              <w:spacing w:line="560" w:lineRule="exact"/>
              <w:jc w:val="center"/>
              <w:rPr>
                <w:rFonts w:hint="eastAsia" w:ascii="仿宋_GB2312" w:hAnsi="仿宋_GB2312" w:eastAsia="仿宋_GB2312" w:cs="仿宋_GB2312"/>
                <w:b/>
                <w:bCs/>
                <w:sz w:val="24"/>
              </w:rPr>
            </w:pPr>
          </w:p>
        </w:tc>
        <w:tc>
          <w:tcPr>
            <w:tcW w:w="6822" w:type="dxa"/>
            <w:vMerge w:val="continue"/>
            <w:noWrap w:val="0"/>
            <w:vAlign w:val="top"/>
          </w:tcPr>
          <w:p w14:paraId="7AA7D704">
            <w:pPr>
              <w:spacing w:line="560" w:lineRule="exact"/>
              <w:jc w:val="left"/>
              <w:rPr>
                <w:rFonts w:hint="eastAsia" w:ascii="仿宋_GB2312" w:hAnsi="仿宋_GB2312" w:eastAsia="仿宋_GB2312" w:cs="仿宋_GB2312"/>
                <w:b/>
                <w:bCs/>
                <w:sz w:val="24"/>
              </w:rPr>
            </w:pPr>
          </w:p>
        </w:tc>
        <w:tc>
          <w:tcPr>
            <w:tcW w:w="765" w:type="dxa"/>
            <w:noWrap w:val="0"/>
            <w:vAlign w:val="center"/>
          </w:tcPr>
          <w:p w14:paraId="2D30BBAB">
            <w:pPr>
              <w:spacing w:line="560" w:lineRule="exact"/>
              <w:jc w:val="center"/>
              <w:rPr>
                <w:rFonts w:hint="eastAsia" w:ascii="仿宋_GB2312" w:hAnsi="仿宋_GB2312" w:eastAsia="仿宋_GB2312" w:cs="仿宋_GB2312"/>
                <w:b/>
                <w:bCs/>
                <w:szCs w:val="22"/>
              </w:rPr>
            </w:pPr>
            <w:r>
              <w:rPr>
                <w:rFonts w:hint="eastAsia" w:ascii="仿宋_GB2312" w:hAnsi="仿宋_GB2312" w:eastAsia="仿宋_GB2312" w:cs="仿宋_GB2312"/>
                <w:b/>
                <w:bCs/>
                <w:szCs w:val="22"/>
              </w:rPr>
              <w:t>好</w:t>
            </w:r>
          </w:p>
        </w:tc>
        <w:tc>
          <w:tcPr>
            <w:tcW w:w="765" w:type="dxa"/>
            <w:noWrap w:val="0"/>
            <w:vAlign w:val="center"/>
          </w:tcPr>
          <w:p w14:paraId="06AE037F">
            <w:pPr>
              <w:spacing w:line="560" w:lineRule="exact"/>
              <w:jc w:val="center"/>
              <w:rPr>
                <w:rFonts w:hint="eastAsia" w:ascii="仿宋_GB2312" w:hAnsi="仿宋_GB2312" w:eastAsia="仿宋_GB2312" w:cs="仿宋_GB2312"/>
                <w:b/>
                <w:bCs/>
                <w:szCs w:val="22"/>
              </w:rPr>
            </w:pPr>
            <w:r>
              <w:rPr>
                <w:rFonts w:hint="eastAsia" w:ascii="仿宋_GB2312" w:hAnsi="仿宋_GB2312" w:eastAsia="仿宋_GB2312" w:cs="仿宋_GB2312"/>
                <w:b/>
                <w:bCs/>
                <w:szCs w:val="22"/>
              </w:rPr>
              <w:t>较好</w:t>
            </w:r>
          </w:p>
        </w:tc>
        <w:tc>
          <w:tcPr>
            <w:tcW w:w="765" w:type="dxa"/>
            <w:noWrap w:val="0"/>
            <w:vAlign w:val="center"/>
          </w:tcPr>
          <w:p w14:paraId="0D60914A">
            <w:pPr>
              <w:spacing w:line="560" w:lineRule="exact"/>
              <w:jc w:val="center"/>
              <w:rPr>
                <w:rFonts w:hint="eastAsia" w:ascii="仿宋_GB2312" w:hAnsi="仿宋_GB2312" w:eastAsia="仿宋_GB2312" w:cs="仿宋_GB2312"/>
                <w:b/>
                <w:bCs/>
                <w:szCs w:val="22"/>
              </w:rPr>
            </w:pPr>
            <w:r>
              <w:rPr>
                <w:rFonts w:hint="eastAsia" w:ascii="仿宋_GB2312" w:hAnsi="仿宋_GB2312" w:eastAsia="仿宋_GB2312" w:cs="仿宋_GB2312"/>
                <w:b/>
                <w:bCs/>
                <w:szCs w:val="22"/>
              </w:rPr>
              <w:t>一般</w:t>
            </w:r>
          </w:p>
        </w:tc>
        <w:tc>
          <w:tcPr>
            <w:tcW w:w="765" w:type="dxa"/>
            <w:noWrap w:val="0"/>
            <w:vAlign w:val="center"/>
          </w:tcPr>
          <w:p w14:paraId="2745829D">
            <w:pPr>
              <w:spacing w:line="560" w:lineRule="exact"/>
              <w:jc w:val="center"/>
              <w:rPr>
                <w:rFonts w:hint="eastAsia" w:ascii="仿宋_GB2312" w:hAnsi="仿宋_GB2312" w:eastAsia="仿宋_GB2312" w:cs="仿宋_GB2312"/>
                <w:b/>
                <w:bCs/>
                <w:szCs w:val="22"/>
              </w:rPr>
            </w:pPr>
            <w:r>
              <w:rPr>
                <w:rFonts w:hint="eastAsia" w:ascii="仿宋_GB2312" w:hAnsi="仿宋_GB2312" w:eastAsia="仿宋_GB2312" w:cs="仿宋_GB2312"/>
                <w:b/>
                <w:bCs/>
                <w:szCs w:val="22"/>
              </w:rPr>
              <w:t>差</w:t>
            </w:r>
          </w:p>
        </w:tc>
      </w:tr>
      <w:tr w14:paraId="5498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jc w:val="center"/>
        </w:trPr>
        <w:tc>
          <w:tcPr>
            <w:tcW w:w="549" w:type="dxa"/>
            <w:noWrap w:val="0"/>
            <w:vAlign w:val="center"/>
          </w:tcPr>
          <w:p w14:paraId="04F3D3DC">
            <w:pPr>
              <w:spacing w:line="560" w:lineRule="exact"/>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1</w:t>
            </w:r>
          </w:p>
        </w:tc>
        <w:tc>
          <w:tcPr>
            <w:tcW w:w="6822" w:type="dxa"/>
            <w:noWrap w:val="0"/>
            <w:vAlign w:val="center"/>
          </w:tcPr>
          <w:p w14:paraId="54725DE9">
            <w:pPr>
              <w:spacing w:line="240" w:lineRule="exact"/>
              <w:rPr>
                <w:rFonts w:hint="eastAsia" w:ascii="仿宋_GB2312" w:hAnsi="仿宋_GB2312" w:eastAsia="仿宋_GB2312" w:cs="仿宋_GB2312"/>
                <w:sz w:val="23"/>
                <w:szCs w:val="23"/>
              </w:rPr>
            </w:pPr>
            <w:r>
              <w:rPr>
                <w:rFonts w:hint="eastAsia" w:ascii="仿宋_GB2312" w:hAnsi="仿宋_GB2312" w:eastAsia="仿宋_GB2312" w:cs="仿宋_GB2312"/>
                <w:sz w:val="24"/>
              </w:rPr>
              <w:t>突出学习贯彻习近平新时代中国特色社会主义思想主题主线，巩固拓展主题教育成果，深入开展党纪学习教育，推进党纪学习教育常态化长效化，持续抓好党建引领海南自由贸易港建设“1+2+7”系列文件落地见效，持续抓好“第一议题”制度落实，推动教育领域基层党组织和广大党员坚定拥护“两个确立”，坚决做到“两个维护”。</w:t>
            </w:r>
          </w:p>
        </w:tc>
        <w:tc>
          <w:tcPr>
            <w:tcW w:w="765" w:type="dxa"/>
            <w:noWrap w:val="0"/>
            <w:vAlign w:val="top"/>
          </w:tcPr>
          <w:p w14:paraId="1AEC9341">
            <w:pPr>
              <w:spacing w:line="560" w:lineRule="exact"/>
              <w:jc w:val="left"/>
              <w:rPr>
                <w:rFonts w:hint="eastAsia" w:ascii="仿宋_GB2312" w:hAnsi="仿宋_GB2312" w:eastAsia="仿宋_GB2312" w:cs="仿宋_GB2312"/>
                <w:sz w:val="22"/>
                <w:szCs w:val="22"/>
              </w:rPr>
            </w:pPr>
          </w:p>
        </w:tc>
        <w:tc>
          <w:tcPr>
            <w:tcW w:w="765" w:type="dxa"/>
            <w:noWrap w:val="0"/>
            <w:vAlign w:val="top"/>
          </w:tcPr>
          <w:p w14:paraId="6A3A437C">
            <w:pPr>
              <w:spacing w:line="560" w:lineRule="exact"/>
              <w:jc w:val="left"/>
              <w:rPr>
                <w:rFonts w:hint="eastAsia" w:ascii="仿宋_GB2312" w:hAnsi="仿宋_GB2312" w:eastAsia="仿宋_GB2312" w:cs="仿宋_GB2312"/>
                <w:sz w:val="22"/>
                <w:szCs w:val="22"/>
              </w:rPr>
            </w:pPr>
          </w:p>
        </w:tc>
        <w:tc>
          <w:tcPr>
            <w:tcW w:w="765" w:type="dxa"/>
            <w:noWrap w:val="0"/>
            <w:vAlign w:val="top"/>
          </w:tcPr>
          <w:p w14:paraId="33BD41C7">
            <w:pPr>
              <w:spacing w:line="560" w:lineRule="exact"/>
              <w:jc w:val="left"/>
              <w:rPr>
                <w:rFonts w:hint="eastAsia" w:ascii="仿宋_GB2312" w:hAnsi="仿宋_GB2312" w:eastAsia="仿宋_GB2312" w:cs="仿宋_GB2312"/>
                <w:sz w:val="22"/>
                <w:szCs w:val="22"/>
              </w:rPr>
            </w:pPr>
          </w:p>
        </w:tc>
        <w:tc>
          <w:tcPr>
            <w:tcW w:w="765" w:type="dxa"/>
            <w:noWrap w:val="0"/>
            <w:vAlign w:val="top"/>
          </w:tcPr>
          <w:p w14:paraId="16733705">
            <w:pPr>
              <w:spacing w:line="560" w:lineRule="exact"/>
              <w:jc w:val="left"/>
              <w:rPr>
                <w:rFonts w:hint="eastAsia" w:ascii="仿宋_GB2312" w:hAnsi="仿宋_GB2312" w:eastAsia="仿宋_GB2312" w:cs="仿宋_GB2312"/>
                <w:sz w:val="22"/>
                <w:szCs w:val="22"/>
              </w:rPr>
            </w:pPr>
          </w:p>
        </w:tc>
      </w:tr>
      <w:tr w14:paraId="16A9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549" w:type="dxa"/>
            <w:noWrap w:val="0"/>
            <w:vAlign w:val="center"/>
          </w:tcPr>
          <w:p w14:paraId="1BA1F2AA">
            <w:pPr>
              <w:spacing w:line="560" w:lineRule="exact"/>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2</w:t>
            </w:r>
          </w:p>
        </w:tc>
        <w:tc>
          <w:tcPr>
            <w:tcW w:w="6822" w:type="dxa"/>
            <w:noWrap w:val="0"/>
            <w:vAlign w:val="center"/>
          </w:tcPr>
          <w:p w14:paraId="793F57EF">
            <w:pPr>
              <w:spacing w:line="240" w:lineRule="exact"/>
              <w:rPr>
                <w:rFonts w:hint="eastAsia" w:ascii="仿宋_GB2312" w:hAnsi="仿宋_GB2312" w:eastAsia="仿宋_GB2312" w:cs="仿宋_GB2312"/>
                <w:sz w:val="23"/>
                <w:szCs w:val="23"/>
              </w:rPr>
            </w:pPr>
            <w:r>
              <w:rPr>
                <w:rFonts w:hint="eastAsia" w:ascii="仿宋_GB2312" w:hAnsi="仿宋_GB2312" w:eastAsia="仿宋_GB2312" w:cs="仿宋_GB2312"/>
                <w:sz w:val="24"/>
              </w:rPr>
              <w:t>突出服务保障进一步全面深化改革、推进中国式现代化中心任务，增强基层党组织政治功能和组织功能，在推动学校事业高质量发展、助力国际教育创新岛建设和自由贸易港封关运作、服务国家重大战略需求、联系服务师生、防汛抢险救灾等重大任务中充分发挥基层党组织战斗堡垒作用。</w:t>
            </w:r>
          </w:p>
        </w:tc>
        <w:tc>
          <w:tcPr>
            <w:tcW w:w="765" w:type="dxa"/>
            <w:noWrap w:val="0"/>
            <w:vAlign w:val="top"/>
          </w:tcPr>
          <w:p w14:paraId="4DF4E416">
            <w:pPr>
              <w:spacing w:line="560" w:lineRule="exact"/>
              <w:jc w:val="left"/>
              <w:rPr>
                <w:rFonts w:hint="eastAsia" w:ascii="仿宋_GB2312" w:hAnsi="仿宋_GB2312" w:eastAsia="仿宋_GB2312" w:cs="仿宋_GB2312"/>
                <w:sz w:val="22"/>
                <w:szCs w:val="22"/>
              </w:rPr>
            </w:pPr>
          </w:p>
        </w:tc>
        <w:tc>
          <w:tcPr>
            <w:tcW w:w="765" w:type="dxa"/>
            <w:noWrap w:val="0"/>
            <w:vAlign w:val="top"/>
          </w:tcPr>
          <w:p w14:paraId="6679BEC8">
            <w:pPr>
              <w:spacing w:line="560" w:lineRule="exact"/>
              <w:jc w:val="left"/>
              <w:rPr>
                <w:rFonts w:hint="eastAsia" w:ascii="仿宋_GB2312" w:hAnsi="仿宋_GB2312" w:eastAsia="仿宋_GB2312" w:cs="仿宋_GB2312"/>
                <w:sz w:val="22"/>
                <w:szCs w:val="22"/>
              </w:rPr>
            </w:pPr>
          </w:p>
        </w:tc>
        <w:tc>
          <w:tcPr>
            <w:tcW w:w="765" w:type="dxa"/>
            <w:noWrap w:val="0"/>
            <w:vAlign w:val="top"/>
          </w:tcPr>
          <w:p w14:paraId="5DD8546B">
            <w:pPr>
              <w:spacing w:line="560" w:lineRule="exact"/>
              <w:jc w:val="left"/>
              <w:rPr>
                <w:rFonts w:hint="eastAsia" w:ascii="仿宋_GB2312" w:hAnsi="仿宋_GB2312" w:eastAsia="仿宋_GB2312" w:cs="仿宋_GB2312"/>
                <w:sz w:val="22"/>
                <w:szCs w:val="22"/>
              </w:rPr>
            </w:pPr>
          </w:p>
        </w:tc>
        <w:tc>
          <w:tcPr>
            <w:tcW w:w="765" w:type="dxa"/>
            <w:noWrap w:val="0"/>
            <w:vAlign w:val="top"/>
          </w:tcPr>
          <w:p w14:paraId="7823A7FA">
            <w:pPr>
              <w:spacing w:line="560" w:lineRule="exact"/>
              <w:jc w:val="left"/>
              <w:rPr>
                <w:rFonts w:hint="eastAsia" w:ascii="仿宋_GB2312" w:hAnsi="仿宋_GB2312" w:eastAsia="仿宋_GB2312" w:cs="仿宋_GB2312"/>
                <w:sz w:val="22"/>
                <w:szCs w:val="22"/>
              </w:rPr>
            </w:pPr>
          </w:p>
        </w:tc>
      </w:tr>
      <w:tr w14:paraId="049A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jc w:val="center"/>
        </w:trPr>
        <w:tc>
          <w:tcPr>
            <w:tcW w:w="549" w:type="dxa"/>
            <w:noWrap w:val="0"/>
            <w:vAlign w:val="center"/>
          </w:tcPr>
          <w:p w14:paraId="6512C8DD">
            <w:pPr>
              <w:spacing w:line="560" w:lineRule="exact"/>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3</w:t>
            </w:r>
          </w:p>
        </w:tc>
        <w:tc>
          <w:tcPr>
            <w:tcW w:w="6822" w:type="dxa"/>
            <w:noWrap w:val="0"/>
            <w:vAlign w:val="center"/>
          </w:tcPr>
          <w:p w14:paraId="59D8D8C7">
            <w:pPr>
              <w:spacing w:line="240" w:lineRule="exact"/>
              <w:jc w:val="left"/>
              <w:rPr>
                <w:rFonts w:hint="eastAsia" w:ascii="仿宋_GB2312" w:hAnsi="仿宋_GB2312" w:eastAsia="仿宋_GB2312" w:cs="仿宋_GB2312"/>
                <w:sz w:val="23"/>
                <w:szCs w:val="23"/>
              </w:rPr>
            </w:pPr>
            <w:r>
              <w:rPr>
                <w:rFonts w:hint="eastAsia" w:ascii="仿宋_GB2312" w:hAnsi="仿宋_GB2312" w:eastAsia="仿宋_GB2312" w:cs="仿宋_GB2312"/>
                <w:sz w:val="24"/>
              </w:rPr>
              <w:t>突出落实立德树人根本任务，坚持和加强党对学校工作的全面领导，把党的教育方针贯彻到办学治校全过程、各领域，扎实推进思想政治教育工作创新发展，严格落实意识形态工作责任制，防范化解意识形态风险，防范校园宗教渗透，做好统一战线工作，推进清廉校园建设，维护校园安全稳定。</w:t>
            </w:r>
          </w:p>
        </w:tc>
        <w:tc>
          <w:tcPr>
            <w:tcW w:w="765" w:type="dxa"/>
            <w:noWrap w:val="0"/>
            <w:vAlign w:val="top"/>
          </w:tcPr>
          <w:p w14:paraId="072CABE0">
            <w:pPr>
              <w:spacing w:line="560" w:lineRule="exact"/>
              <w:jc w:val="left"/>
              <w:rPr>
                <w:rFonts w:hint="eastAsia" w:ascii="仿宋_GB2312" w:hAnsi="仿宋_GB2312" w:eastAsia="仿宋_GB2312" w:cs="仿宋_GB2312"/>
                <w:sz w:val="22"/>
                <w:szCs w:val="22"/>
              </w:rPr>
            </w:pPr>
          </w:p>
        </w:tc>
        <w:tc>
          <w:tcPr>
            <w:tcW w:w="765" w:type="dxa"/>
            <w:noWrap w:val="0"/>
            <w:vAlign w:val="top"/>
          </w:tcPr>
          <w:p w14:paraId="331E302B">
            <w:pPr>
              <w:spacing w:line="560" w:lineRule="exact"/>
              <w:jc w:val="left"/>
              <w:rPr>
                <w:rFonts w:hint="eastAsia" w:ascii="仿宋_GB2312" w:hAnsi="仿宋_GB2312" w:eastAsia="仿宋_GB2312" w:cs="仿宋_GB2312"/>
                <w:sz w:val="22"/>
                <w:szCs w:val="22"/>
              </w:rPr>
            </w:pPr>
          </w:p>
        </w:tc>
        <w:tc>
          <w:tcPr>
            <w:tcW w:w="765" w:type="dxa"/>
            <w:noWrap w:val="0"/>
            <w:vAlign w:val="top"/>
          </w:tcPr>
          <w:p w14:paraId="54C890A7">
            <w:pPr>
              <w:spacing w:line="560" w:lineRule="exact"/>
              <w:jc w:val="left"/>
              <w:rPr>
                <w:rFonts w:hint="eastAsia" w:ascii="仿宋_GB2312" w:hAnsi="仿宋_GB2312" w:eastAsia="仿宋_GB2312" w:cs="仿宋_GB2312"/>
                <w:sz w:val="22"/>
                <w:szCs w:val="22"/>
              </w:rPr>
            </w:pPr>
          </w:p>
        </w:tc>
        <w:tc>
          <w:tcPr>
            <w:tcW w:w="765" w:type="dxa"/>
            <w:noWrap w:val="0"/>
            <w:vAlign w:val="top"/>
          </w:tcPr>
          <w:p w14:paraId="7E742E6E">
            <w:pPr>
              <w:spacing w:line="560" w:lineRule="exact"/>
              <w:jc w:val="left"/>
              <w:rPr>
                <w:rFonts w:hint="eastAsia" w:ascii="仿宋_GB2312" w:hAnsi="仿宋_GB2312" w:eastAsia="仿宋_GB2312" w:cs="仿宋_GB2312"/>
                <w:sz w:val="22"/>
                <w:szCs w:val="22"/>
              </w:rPr>
            </w:pPr>
          </w:p>
        </w:tc>
      </w:tr>
      <w:tr w14:paraId="4446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549" w:type="dxa"/>
            <w:noWrap w:val="0"/>
            <w:vAlign w:val="center"/>
          </w:tcPr>
          <w:p w14:paraId="24F2F99A">
            <w:pPr>
              <w:spacing w:line="560" w:lineRule="exact"/>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4</w:t>
            </w:r>
          </w:p>
        </w:tc>
        <w:tc>
          <w:tcPr>
            <w:tcW w:w="6822" w:type="dxa"/>
            <w:noWrap w:val="0"/>
            <w:vAlign w:val="center"/>
          </w:tcPr>
          <w:p w14:paraId="0C35F68C">
            <w:pPr>
              <w:spacing w:line="240" w:lineRule="exact"/>
              <w:jc w:val="left"/>
              <w:rPr>
                <w:rFonts w:hint="eastAsia" w:ascii="仿宋_GB2312" w:hAnsi="仿宋_GB2312" w:eastAsia="仿宋_GB2312" w:cs="仿宋_GB2312"/>
                <w:sz w:val="23"/>
                <w:szCs w:val="23"/>
              </w:rPr>
            </w:pPr>
            <w:r>
              <w:rPr>
                <w:rFonts w:hint="eastAsia" w:ascii="仿宋_GB2312" w:hAnsi="仿宋_GB2312" w:eastAsia="仿宋_GB2312" w:cs="仿宋_GB2312"/>
                <w:sz w:val="24"/>
              </w:rPr>
              <w:t>突出落实基层党建工作重点任务，推广“四下基层”制度、深入推进抓党建促乡村振兴、开展基层党支部建设提质增效三年行动、推进高校党建“双创”和“双带头人”教师党支部书记工作室培育建设、加强师德师风建设、推动基层党组织按期换届、推进落实中小学校党组织领导的校长负责制、推进中外合作办学机构党建工作、常态化整顿提升软弱涣散基层党组织、抓好离退休干部党建。</w:t>
            </w:r>
          </w:p>
        </w:tc>
        <w:tc>
          <w:tcPr>
            <w:tcW w:w="765" w:type="dxa"/>
            <w:noWrap w:val="0"/>
            <w:vAlign w:val="top"/>
          </w:tcPr>
          <w:p w14:paraId="007685EC">
            <w:pPr>
              <w:spacing w:line="560" w:lineRule="exact"/>
              <w:jc w:val="left"/>
              <w:rPr>
                <w:rFonts w:hint="eastAsia" w:ascii="仿宋_GB2312" w:hAnsi="仿宋_GB2312" w:eastAsia="仿宋_GB2312" w:cs="仿宋_GB2312"/>
                <w:sz w:val="22"/>
                <w:szCs w:val="22"/>
              </w:rPr>
            </w:pPr>
          </w:p>
        </w:tc>
        <w:tc>
          <w:tcPr>
            <w:tcW w:w="765" w:type="dxa"/>
            <w:noWrap w:val="0"/>
            <w:vAlign w:val="top"/>
          </w:tcPr>
          <w:p w14:paraId="18C2E107">
            <w:pPr>
              <w:spacing w:line="560" w:lineRule="exact"/>
              <w:jc w:val="left"/>
              <w:rPr>
                <w:rFonts w:hint="eastAsia" w:ascii="仿宋_GB2312" w:hAnsi="仿宋_GB2312" w:eastAsia="仿宋_GB2312" w:cs="仿宋_GB2312"/>
                <w:sz w:val="22"/>
                <w:szCs w:val="22"/>
              </w:rPr>
            </w:pPr>
          </w:p>
        </w:tc>
        <w:tc>
          <w:tcPr>
            <w:tcW w:w="765" w:type="dxa"/>
            <w:noWrap w:val="0"/>
            <w:vAlign w:val="top"/>
          </w:tcPr>
          <w:p w14:paraId="48C580E0">
            <w:pPr>
              <w:spacing w:line="560" w:lineRule="exact"/>
              <w:jc w:val="left"/>
              <w:rPr>
                <w:rFonts w:hint="eastAsia" w:ascii="仿宋_GB2312" w:hAnsi="仿宋_GB2312" w:eastAsia="仿宋_GB2312" w:cs="仿宋_GB2312"/>
                <w:sz w:val="22"/>
                <w:szCs w:val="22"/>
              </w:rPr>
            </w:pPr>
          </w:p>
        </w:tc>
        <w:tc>
          <w:tcPr>
            <w:tcW w:w="765" w:type="dxa"/>
            <w:noWrap w:val="0"/>
            <w:vAlign w:val="top"/>
          </w:tcPr>
          <w:p w14:paraId="58E79834">
            <w:pPr>
              <w:spacing w:line="560" w:lineRule="exact"/>
              <w:jc w:val="left"/>
              <w:rPr>
                <w:rFonts w:hint="eastAsia" w:ascii="仿宋_GB2312" w:hAnsi="仿宋_GB2312" w:eastAsia="仿宋_GB2312" w:cs="仿宋_GB2312"/>
                <w:sz w:val="22"/>
                <w:szCs w:val="22"/>
              </w:rPr>
            </w:pPr>
          </w:p>
        </w:tc>
      </w:tr>
      <w:tr w14:paraId="3810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549" w:type="dxa"/>
            <w:noWrap w:val="0"/>
            <w:vAlign w:val="center"/>
          </w:tcPr>
          <w:p w14:paraId="6B441256">
            <w:pPr>
              <w:spacing w:line="560" w:lineRule="exact"/>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5</w:t>
            </w:r>
          </w:p>
        </w:tc>
        <w:tc>
          <w:tcPr>
            <w:tcW w:w="6822" w:type="dxa"/>
            <w:noWrap w:val="0"/>
            <w:vAlign w:val="center"/>
          </w:tcPr>
          <w:p w14:paraId="12D577A0">
            <w:pPr>
              <w:spacing w:line="240" w:lineRule="exact"/>
              <w:jc w:val="left"/>
              <w:rPr>
                <w:rFonts w:hint="eastAsia" w:ascii="仿宋_GB2312" w:hAnsi="仿宋_GB2312" w:eastAsia="仿宋_GB2312" w:cs="仿宋_GB2312"/>
                <w:sz w:val="23"/>
                <w:szCs w:val="23"/>
              </w:rPr>
            </w:pPr>
            <w:r>
              <w:rPr>
                <w:rFonts w:hint="eastAsia" w:ascii="仿宋_GB2312" w:hAnsi="仿宋_GB2312" w:eastAsia="仿宋_GB2312" w:cs="仿宋_GB2312"/>
                <w:sz w:val="24"/>
              </w:rPr>
              <w:t>突出加强党员队伍建设，提高发展党员质量，优化党员队伍结构，抓好党员教育培训，严格落实党的组织生活制度，加强流动党员管理，严肃稳妥处置不合格党员，发挥党员在网络空间的先锋模范作用，激励党员干部在加快推进学校事业高质量发展和海南自由贸易港建设中担当作为。</w:t>
            </w:r>
          </w:p>
        </w:tc>
        <w:tc>
          <w:tcPr>
            <w:tcW w:w="765" w:type="dxa"/>
            <w:noWrap w:val="0"/>
            <w:vAlign w:val="top"/>
          </w:tcPr>
          <w:p w14:paraId="10680A08">
            <w:pPr>
              <w:spacing w:line="560" w:lineRule="exact"/>
              <w:jc w:val="left"/>
              <w:rPr>
                <w:rFonts w:hint="eastAsia" w:ascii="仿宋_GB2312" w:hAnsi="仿宋_GB2312" w:eastAsia="仿宋_GB2312" w:cs="仿宋_GB2312"/>
                <w:sz w:val="22"/>
                <w:szCs w:val="22"/>
              </w:rPr>
            </w:pPr>
          </w:p>
        </w:tc>
        <w:tc>
          <w:tcPr>
            <w:tcW w:w="765" w:type="dxa"/>
            <w:noWrap w:val="0"/>
            <w:vAlign w:val="top"/>
          </w:tcPr>
          <w:p w14:paraId="791E1B70">
            <w:pPr>
              <w:spacing w:line="560" w:lineRule="exact"/>
              <w:jc w:val="left"/>
              <w:rPr>
                <w:rFonts w:hint="eastAsia" w:ascii="仿宋_GB2312" w:hAnsi="仿宋_GB2312" w:eastAsia="仿宋_GB2312" w:cs="仿宋_GB2312"/>
                <w:sz w:val="22"/>
                <w:szCs w:val="22"/>
              </w:rPr>
            </w:pPr>
          </w:p>
        </w:tc>
        <w:tc>
          <w:tcPr>
            <w:tcW w:w="765" w:type="dxa"/>
            <w:noWrap w:val="0"/>
            <w:vAlign w:val="top"/>
          </w:tcPr>
          <w:p w14:paraId="1440168E">
            <w:pPr>
              <w:spacing w:line="560" w:lineRule="exact"/>
              <w:jc w:val="left"/>
              <w:rPr>
                <w:rFonts w:hint="eastAsia" w:ascii="仿宋_GB2312" w:hAnsi="仿宋_GB2312" w:eastAsia="仿宋_GB2312" w:cs="仿宋_GB2312"/>
                <w:sz w:val="22"/>
                <w:szCs w:val="22"/>
              </w:rPr>
            </w:pPr>
          </w:p>
        </w:tc>
        <w:tc>
          <w:tcPr>
            <w:tcW w:w="765" w:type="dxa"/>
            <w:noWrap w:val="0"/>
            <w:vAlign w:val="top"/>
          </w:tcPr>
          <w:p w14:paraId="12B5C09D">
            <w:pPr>
              <w:spacing w:line="560" w:lineRule="exact"/>
              <w:jc w:val="left"/>
              <w:rPr>
                <w:rFonts w:hint="eastAsia" w:ascii="仿宋_GB2312" w:hAnsi="仿宋_GB2312" w:eastAsia="仿宋_GB2312" w:cs="仿宋_GB2312"/>
                <w:sz w:val="22"/>
                <w:szCs w:val="22"/>
              </w:rPr>
            </w:pPr>
          </w:p>
        </w:tc>
      </w:tr>
      <w:tr w14:paraId="6CA5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1" w:type="dxa"/>
            <w:gridSpan w:val="2"/>
            <w:noWrap w:val="0"/>
            <w:vAlign w:val="top"/>
          </w:tcPr>
          <w:p w14:paraId="7BDB92FC">
            <w:pPr>
              <w:spacing w:line="560" w:lineRule="exact"/>
              <w:jc w:val="center"/>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总体评分</w:t>
            </w:r>
          </w:p>
        </w:tc>
        <w:tc>
          <w:tcPr>
            <w:tcW w:w="765" w:type="dxa"/>
            <w:noWrap w:val="0"/>
            <w:vAlign w:val="top"/>
          </w:tcPr>
          <w:p w14:paraId="0E76DB78">
            <w:pPr>
              <w:spacing w:line="560" w:lineRule="exact"/>
              <w:jc w:val="left"/>
              <w:rPr>
                <w:rFonts w:hint="eastAsia" w:ascii="仿宋_GB2312" w:hAnsi="仿宋_GB2312" w:eastAsia="仿宋_GB2312" w:cs="仿宋_GB2312"/>
                <w:sz w:val="28"/>
                <w:szCs w:val="32"/>
              </w:rPr>
            </w:pPr>
          </w:p>
        </w:tc>
        <w:tc>
          <w:tcPr>
            <w:tcW w:w="765" w:type="dxa"/>
            <w:noWrap w:val="0"/>
            <w:vAlign w:val="top"/>
          </w:tcPr>
          <w:p w14:paraId="1E741D2C">
            <w:pPr>
              <w:spacing w:line="560" w:lineRule="exact"/>
              <w:jc w:val="left"/>
              <w:rPr>
                <w:rFonts w:hint="eastAsia" w:ascii="仿宋_GB2312" w:hAnsi="仿宋_GB2312" w:eastAsia="仿宋_GB2312" w:cs="仿宋_GB2312"/>
                <w:sz w:val="28"/>
                <w:szCs w:val="32"/>
              </w:rPr>
            </w:pPr>
          </w:p>
        </w:tc>
        <w:tc>
          <w:tcPr>
            <w:tcW w:w="765" w:type="dxa"/>
            <w:noWrap w:val="0"/>
            <w:vAlign w:val="top"/>
          </w:tcPr>
          <w:p w14:paraId="40B732D4">
            <w:pPr>
              <w:spacing w:line="560" w:lineRule="exact"/>
              <w:jc w:val="left"/>
              <w:rPr>
                <w:rFonts w:hint="eastAsia" w:ascii="仿宋_GB2312" w:hAnsi="仿宋_GB2312" w:eastAsia="仿宋_GB2312" w:cs="仿宋_GB2312"/>
                <w:sz w:val="28"/>
                <w:szCs w:val="32"/>
              </w:rPr>
            </w:pPr>
          </w:p>
        </w:tc>
        <w:tc>
          <w:tcPr>
            <w:tcW w:w="765" w:type="dxa"/>
            <w:noWrap w:val="0"/>
            <w:vAlign w:val="top"/>
          </w:tcPr>
          <w:p w14:paraId="0E42657C">
            <w:pPr>
              <w:spacing w:line="560" w:lineRule="exact"/>
              <w:jc w:val="left"/>
              <w:rPr>
                <w:rFonts w:hint="eastAsia" w:ascii="仿宋_GB2312" w:hAnsi="仿宋_GB2312" w:eastAsia="仿宋_GB2312" w:cs="仿宋_GB2312"/>
                <w:sz w:val="28"/>
                <w:szCs w:val="32"/>
              </w:rPr>
            </w:pPr>
          </w:p>
        </w:tc>
      </w:tr>
      <w:tr w14:paraId="4754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0431" w:type="dxa"/>
            <w:gridSpan w:val="6"/>
            <w:noWrap w:val="0"/>
            <w:vAlign w:val="center"/>
          </w:tcPr>
          <w:p w14:paraId="28A6C52F">
            <w:pPr>
              <w:spacing w:line="560" w:lineRule="exact"/>
              <w:jc w:val="left"/>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对测评对象的意见建议：</w:t>
            </w:r>
          </w:p>
        </w:tc>
      </w:tr>
    </w:tbl>
    <w:p w14:paraId="15FBFD60">
      <w:pPr>
        <w:spacing w:line="560" w:lineRule="exact"/>
        <w:jc w:val="left"/>
      </w:pPr>
      <w:r>
        <w:rPr>
          <w:rFonts w:hint="eastAsia" w:ascii="仿宋_GB2312" w:hAnsi="仿宋" w:eastAsia="仿宋_GB2312"/>
          <w:sz w:val="28"/>
          <w:szCs w:val="32"/>
        </w:rPr>
        <w:t>测评对象</w:t>
      </w:r>
      <w:r>
        <w:rPr>
          <w:rFonts w:ascii="仿宋_GB2312" w:hAnsi="仿宋" w:eastAsia="仿宋_GB2312"/>
          <w:sz w:val="28"/>
          <w:szCs w:val="32"/>
        </w:rPr>
        <w:t>：</w:t>
      </w:r>
    </w:p>
    <w:sectPr>
      <w:pgSz w:w="11906" w:h="16838"/>
      <w:pgMar w:top="1701" w:right="1474" w:bottom="141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A40B14"/>
    <w:rsid w:val="2DE2421F"/>
    <w:rsid w:val="50A40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777</Words>
  <Characters>781</Characters>
  <Lines>0</Lines>
  <Paragraphs>0</Paragraphs>
  <TotalTime>1</TotalTime>
  <ScaleCrop>false</ScaleCrop>
  <LinksUpToDate>false</LinksUpToDate>
  <CharactersWithSpaces>786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2025-03-13T01:48:00Z</dcterms:created>
  <dc:creator>澹月如露</dc:creator>
  <cp:lastModifiedBy>澹月如露</cp:lastModifiedBy>
  <dcterms:modified xsi:type="dcterms:W3CDTF">2025-03-13T02:01:39Z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4427007227554665B057B23F1E53F7FE_11</vt:lpwstr>
  </property>
  <property fmtid="{D5CDD505-2E9C-101B-9397-08002B2CF9AE}" pid="4" name="KSOTemplateDocerSaveRecord">
    <vt:lpwstr>eyJoZGlkIjoiN2IwZGQ0ZDIzY2U2ZTY1YWFkMmFhNGJkNzc4NDhhOGMiLCJ1c2VySWQiOiIyNzkxMDAyMDMifQ==</vt:lpwstr>
  </property>
</Properties>
</file>